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潍坊科技学院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</w:t>
      </w:r>
      <w:r>
        <w:rPr>
          <w:rFonts w:asciiTheme="minorEastAsia" w:hAnsiTheme="minorEastAsia"/>
          <w:b/>
          <w:sz w:val="36"/>
          <w:szCs w:val="36"/>
        </w:rPr>
        <w:t>-20</w:t>
      </w:r>
      <w:r>
        <w:rPr>
          <w:rFonts w:hint="eastAsia" w:asciiTheme="minorEastAsia" w:hAnsiTheme="minorEastAsia"/>
          <w:b/>
          <w:sz w:val="36"/>
          <w:szCs w:val="36"/>
        </w:rPr>
        <w:t>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3</w:t>
      </w:r>
      <w:r>
        <w:rPr>
          <w:rFonts w:asciiTheme="minorEastAsia" w:hAnsiTheme="minorEastAsia"/>
          <w:b/>
          <w:sz w:val="36"/>
          <w:szCs w:val="36"/>
        </w:rPr>
        <w:t>学年第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一</w:t>
      </w:r>
      <w:bookmarkStart w:id="0" w:name="_GoBack"/>
      <w:bookmarkEnd w:id="0"/>
      <w:r>
        <w:rPr>
          <w:rFonts w:asciiTheme="minorEastAsia" w:hAnsiTheme="minorEastAsia"/>
          <w:b/>
          <w:sz w:val="36"/>
          <w:szCs w:val="36"/>
        </w:rPr>
        <w:t>学期</w:t>
      </w:r>
      <w:r>
        <w:rPr>
          <w:rFonts w:hint="eastAsia" w:asciiTheme="minorEastAsia" w:hAnsiTheme="minorEastAsia"/>
          <w:b/>
          <w:sz w:val="36"/>
          <w:szCs w:val="36"/>
        </w:rPr>
        <w:t>期中教学检查自查自评量化表（满分100分）</w:t>
      </w:r>
    </w:p>
    <w:p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教学单位名称：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         自评得分：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6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2126"/>
        <w:gridCol w:w="4252"/>
        <w:gridCol w:w="2410"/>
        <w:gridCol w:w="4111"/>
        <w:gridCol w:w="84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指标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二级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指标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三级指标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考核内容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考核办法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自评情况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自评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1.线下及线上教学环节</w:t>
            </w:r>
          </w:p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0分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1.1线下及线上理论教学</w:t>
            </w:r>
          </w:p>
          <w:p>
            <w:pPr>
              <w:ind w:left="-109" w:leftChars="-52" w:right="-115" w:rightChars="-5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40分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1.1.1课程教学标准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贯彻立德树人要求，教学观点正确，言论健康，突出课堂德育；教学理念先进，风格突出，感染力强；治学严谨，关注学生创新能力培养。符合OBE理念，重视对学生应用能力的培养。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翻阅课程教学标准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1.1.2课程教学计划 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能够结合课程标准并结合学生实际，计划详细、具体，可操作性强。与标准吻合。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翻阅课程教学计划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1.1.3教学日历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严格按照授课计划进行教学，填写认真、全面、规范、突出重难点。教学反思深刻，有实质内容。实际教学执行与计划误差≤2周。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翻阅教学日历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1.1.4教案编写情况</w:t>
            </w:r>
            <w:r>
              <w:rPr>
                <w:rFonts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 xml:space="preserve">分 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贯彻课程标准（教学大纲），内容先进，教学载体能有效支撑课程目标；教材新颖，教学设计注重结果和能力导向，注重吸收学科发展新思想、新概念、新成果，符合OBE理念，重视对学生应用能力的培养。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翻阅教学设计</w:t>
            </w: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1.1.5课堂管理情况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课前准备充分，课前、课后有指导；能够体现出通过课内外任务对学生的能力进行训练，规范学生出勤，课堂秩序管理严格。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翻阅学生考勤名单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6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.2</w:t>
            </w:r>
            <w:r>
              <w:rPr>
                <w:rFonts w:hint="eastAsia" w:asciiTheme="minorEastAsia" w:hAnsiTheme="minorEastAsia"/>
                <w:szCs w:val="21"/>
              </w:rPr>
              <w:t>线下及线上实践教学</w:t>
            </w:r>
          </w:p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 xml:space="preserve">实践教学计划   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能够结合人才培养方案、课程标准并结合学生实际，计划详细、具体，可操作性强。与标准吻合。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翻阅学生作业本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2.2</w:t>
            </w:r>
            <w:r>
              <w:rPr>
                <w:rFonts w:hint="eastAsia" w:asciiTheme="minorEastAsia" w:hAnsiTheme="minorEastAsia"/>
                <w:szCs w:val="21"/>
              </w:rPr>
              <w:t xml:space="preserve">实践课程教学设计 </w:t>
            </w: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实践教学内容符合人才培养方案要求，提升人才培养目标达成度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翻阅实践课程教学设计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95" w:hRule="atLeast"/>
        </w:trPr>
        <w:tc>
          <w:tcPr>
            <w:tcW w:w="851" w:type="dxa"/>
            <w:vMerge w:val="continue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线下及线上教学管理</w:t>
            </w:r>
          </w:p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20分</w:t>
            </w:r>
          </w:p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.1听课制度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严格执行院系教学质量监控方案中的听课制度，完成方案中自行制定的听课节次，认真填写听课记录表，能够提出优缺点，授课教师签名。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翻阅听课记录本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52" w:hRule="atLeast"/>
        </w:trPr>
        <w:tc>
          <w:tcPr>
            <w:tcW w:w="851" w:type="dxa"/>
            <w:vMerge w:val="continue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.2教学事故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教师严格遵守教学纪律，未出现教学事故。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查看学校教学事故文件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30" w:hRule="atLeast"/>
        </w:trPr>
        <w:tc>
          <w:tcPr>
            <w:tcW w:w="851" w:type="dxa"/>
            <w:vMerge w:val="continue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.3调停课情况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严格执行调停课手续，补课及时。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查看调课审批单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30" w:hRule="atLeast"/>
        </w:trPr>
        <w:tc>
          <w:tcPr>
            <w:tcW w:w="851" w:type="dxa"/>
            <w:vMerge w:val="continue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.4课程教学进展情况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与教学计划进展一致。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查看教师课程进展说明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87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.3.5</w:t>
            </w:r>
            <w:r>
              <w:rPr>
                <w:rFonts w:hint="eastAsia" w:asciiTheme="minorEastAsia" w:hAnsiTheme="minorEastAsia"/>
                <w:szCs w:val="21"/>
              </w:rPr>
              <w:t>学生信息员反馈情况5分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每周学生信息员反馈问题数目，是否落实，落实情况如何。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查看每周学生信息员反馈表（已上交的不用再交，未上交的请补齐，截止到第</w:t>
            </w: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周）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27" w:hRule="atLeast"/>
        </w:trPr>
        <w:tc>
          <w:tcPr>
            <w:tcW w:w="851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2线下及线上教研活动记录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0分</w:t>
            </w:r>
          </w:p>
        </w:tc>
        <w:tc>
          <w:tcPr>
            <w:tcW w:w="851" w:type="dxa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线下及线上教研活动记录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0分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教研活动记录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结合自己专业特点和学校重点教学工作制定教研计划，按时扎实开展教研活动，记录完整，有活动照片，教研效果良好，签字无遗漏。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翻阅教研活动记录本</w:t>
            </w:r>
          </w:p>
        </w:tc>
        <w:tc>
          <w:tcPr>
            <w:tcW w:w="4111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40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3.教学单位自查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0分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</w:t>
            </w:r>
          </w:p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</w:t>
            </w:r>
          </w:p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0分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组织工作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0分</w:t>
            </w:r>
          </w:p>
        </w:tc>
        <w:tc>
          <w:tcPr>
            <w:tcW w:w="4252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高度重视此次期中教学检查，认真组织落实，在学校检查前完成自查，形成自查报告，按时提交自查自评量化表和自查报告；检查材料准备充足、充分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对自己院系的自查自评量化表和自查报告和组织情况进行自评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382078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0ZGM3NjcxNmQzYTFhNDk2Y2QzMzhlMzJiMmQ5MDgifQ=="/>
  </w:docVars>
  <w:rsids>
    <w:rsidRoot w:val="007D7FB0"/>
    <w:rsid w:val="00011089"/>
    <w:rsid w:val="00025DFE"/>
    <w:rsid w:val="00027BFE"/>
    <w:rsid w:val="00043753"/>
    <w:rsid w:val="00044DEE"/>
    <w:rsid w:val="0004634F"/>
    <w:rsid w:val="000504D6"/>
    <w:rsid w:val="00054C49"/>
    <w:rsid w:val="000557DD"/>
    <w:rsid w:val="00060C74"/>
    <w:rsid w:val="0006307A"/>
    <w:rsid w:val="00077381"/>
    <w:rsid w:val="0008366A"/>
    <w:rsid w:val="00093F8F"/>
    <w:rsid w:val="000A16EA"/>
    <w:rsid w:val="000A1F75"/>
    <w:rsid w:val="000A7A4F"/>
    <w:rsid w:val="000C293A"/>
    <w:rsid w:val="000D18CC"/>
    <w:rsid w:val="000E17F1"/>
    <w:rsid w:val="000E2531"/>
    <w:rsid w:val="000F4886"/>
    <w:rsid w:val="00101766"/>
    <w:rsid w:val="00113F9C"/>
    <w:rsid w:val="00156ED5"/>
    <w:rsid w:val="00163583"/>
    <w:rsid w:val="00194281"/>
    <w:rsid w:val="001A0B6B"/>
    <w:rsid w:val="001A3033"/>
    <w:rsid w:val="001C3CF7"/>
    <w:rsid w:val="001E0780"/>
    <w:rsid w:val="001E160C"/>
    <w:rsid w:val="001E29B1"/>
    <w:rsid w:val="001E6791"/>
    <w:rsid w:val="001F6C8A"/>
    <w:rsid w:val="00211C99"/>
    <w:rsid w:val="00225E20"/>
    <w:rsid w:val="00226B37"/>
    <w:rsid w:val="00235EBF"/>
    <w:rsid w:val="00237542"/>
    <w:rsid w:val="00242A1F"/>
    <w:rsid w:val="0024418A"/>
    <w:rsid w:val="00246AB0"/>
    <w:rsid w:val="0025358B"/>
    <w:rsid w:val="00255B20"/>
    <w:rsid w:val="00274101"/>
    <w:rsid w:val="002803F5"/>
    <w:rsid w:val="002A45A8"/>
    <w:rsid w:val="002B4519"/>
    <w:rsid w:val="002C04D0"/>
    <w:rsid w:val="002C246F"/>
    <w:rsid w:val="002D401B"/>
    <w:rsid w:val="002D54E3"/>
    <w:rsid w:val="00302AFA"/>
    <w:rsid w:val="00304AF0"/>
    <w:rsid w:val="00316672"/>
    <w:rsid w:val="00331745"/>
    <w:rsid w:val="00334BB5"/>
    <w:rsid w:val="0033779F"/>
    <w:rsid w:val="00356762"/>
    <w:rsid w:val="00362EDE"/>
    <w:rsid w:val="003B2A46"/>
    <w:rsid w:val="003B6F5E"/>
    <w:rsid w:val="003C1F83"/>
    <w:rsid w:val="003C53E3"/>
    <w:rsid w:val="003D1C4B"/>
    <w:rsid w:val="003D4E94"/>
    <w:rsid w:val="003D6FF5"/>
    <w:rsid w:val="003E547F"/>
    <w:rsid w:val="004222B3"/>
    <w:rsid w:val="00431D3F"/>
    <w:rsid w:val="004343B3"/>
    <w:rsid w:val="00446D24"/>
    <w:rsid w:val="00447D92"/>
    <w:rsid w:val="00450BDA"/>
    <w:rsid w:val="0045289D"/>
    <w:rsid w:val="00456B88"/>
    <w:rsid w:val="00484B5F"/>
    <w:rsid w:val="00491573"/>
    <w:rsid w:val="00492F09"/>
    <w:rsid w:val="004C0AEA"/>
    <w:rsid w:val="004C36D1"/>
    <w:rsid w:val="004C5551"/>
    <w:rsid w:val="004E0D71"/>
    <w:rsid w:val="004E2197"/>
    <w:rsid w:val="004E4A70"/>
    <w:rsid w:val="004F0E48"/>
    <w:rsid w:val="00501F14"/>
    <w:rsid w:val="0053151A"/>
    <w:rsid w:val="00531915"/>
    <w:rsid w:val="005319D4"/>
    <w:rsid w:val="0053693E"/>
    <w:rsid w:val="005531C3"/>
    <w:rsid w:val="00556167"/>
    <w:rsid w:val="0056534A"/>
    <w:rsid w:val="00580077"/>
    <w:rsid w:val="005824A1"/>
    <w:rsid w:val="005945F8"/>
    <w:rsid w:val="00595445"/>
    <w:rsid w:val="005C4B08"/>
    <w:rsid w:val="005D12FB"/>
    <w:rsid w:val="005E2A6D"/>
    <w:rsid w:val="005E3238"/>
    <w:rsid w:val="005E696C"/>
    <w:rsid w:val="005E6C09"/>
    <w:rsid w:val="005F5734"/>
    <w:rsid w:val="006055E3"/>
    <w:rsid w:val="00611FE2"/>
    <w:rsid w:val="006303DB"/>
    <w:rsid w:val="006609BF"/>
    <w:rsid w:val="0067775D"/>
    <w:rsid w:val="0068434C"/>
    <w:rsid w:val="00691DF8"/>
    <w:rsid w:val="00693D11"/>
    <w:rsid w:val="00696A38"/>
    <w:rsid w:val="006976D6"/>
    <w:rsid w:val="006B08AD"/>
    <w:rsid w:val="006B4FAF"/>
    <w:rsid w:val="006C4F3E"/>
    <w:rsid w:val="006C74DC"/>
    <w:rsid w:val="006F4FEE"/>
    <w:rsid w:val="006F751F"/>
    <w:rsid w:val="00730E84"/>
    <w:rsid w:val="007319D7"/>
    <w:rsid w:val="007322DD"/>
    <w:rsid w:val="00735E73"/>
    <w:rsid w:val="007461B6"/>
    <w:rsid w:val="007618E0"/>
    <w:rsid w:val="00766D62"/>
    <w:rsid w:val="0077025B"/>
    <w:rsid w:val="007A17F2"/>
    <w:rsid w:val="007A6361"/>
    <w:rsid w:val="007A775F"/>
    <w:rsid w:val="007B1826"/>
    <w:rsid w:val="007C0D84"/>
    <w:rsid w:val="007D04A5"/>
    <w:rsid w:val="007D7FB0"/>
    <w:rsid w:val="007E4A65"/>
    <w:rsid w:val="007E530D"/>
    <w:rsid w:val="007F5350"/>
    <w:rsid w:val="00802873"/>
    <w:rsid w:val="00805695"/>
    <w:rsid w:val="008109EB"/>
    <w:rsid w:val="008124A9"/>
    <w:rsid w:val="00815AF7"/>
    <w:rsid w:val="0082060D"/>
    <w:rsid w:val="00826E41"/>
    <w:rsid w:val="0083018E"/>
    <w:rsid w:val="0083664C"/>
    <w:rsid w:val="00846DD7"/>
    <w:rsid w:val="008509BA"/>
    <w:rsid w:val="00860CC4"/>
    <w:rsid w:val="00870519"/>
    <w:rsid w:val="00870BB1"/>
    <w:rsid w:val="00884209"/>
    <w:rsid w:val="008A06C4"/>
    <w:rsid w:val="008C78DE"/>
    <w:rsid w:val="008D6DB2"/>
    <w:rsid w:val="008E07BE"/>
    <w:rsid w:val="008F2785"/>
    <w:rsid w:val="0090644F"/>
    <w:rsid w:val="00924BAF"/>
    <w:rsid w:val="00930628"/>
    <w:rsid w:val="009308F3"/>
    <w:rsid w:val="00932B22"/>
    <w:rsid w:val="009545F0"/>
    <w:rsid w:val="009833A8"/>
    <w:rsid w:val="00983E7A"/>
    <w:rsid w:val="009940D0"/>
    <w:rsid w:val="009A0C93"/>
    <w:rsid w:val="009A19C9"/>
    <w:rsid w:val="009B3E03"/>
    <w:rsid w:val="009B63ED"/>
    <w:rsid w:val="009C1765"/>
    <w:rsid w:val="009C3541"/>
    <w:rsid w:val="009D1185"/>
    <w:rsid w:val="009D4C57"/>
    <w:rsid w:val="009E5062"/>
    <w:rsid w:val="00A118D4"/>
    <w:rsid w:val="00A12B65"/>
    <w:rsid w:val="00A2423A"/>
    <w:rsid w:val="00A56476"/>
    <w:rsid w:val="00A56625"/>
    <w:rsid w:val="00A66E74"/>
    <w:rsid w:val="00A749A4"/>
    <w:rsid w:val="00A907B9"/>
    <w:rsid w:val="00A95038"/>
    <w:rsid w:val="00AB3BBC"/>
    <w:rsid w:val="00AC0902"/>
    <w:rsid w:val="00AD50CA"/>
    <w:rsid w:val="00AE33DF"/>
    <w:rsid w:val="00AF4415"/>
    <w:rsid w:val="00B120FF"/>
    <w:rsid w:val="00B20C6B"/>
    <w:rsid w:val="00B25FA0"/>
    <w:rsid w:val="00B30DC5"/>
    <w:rsid w:val="00B4035F"/>
    <w:rsid w:val="00B7162D"/>
    <w:rsid w:val="00B72A48"/>
    <w:rsid w:val="00B80D5B"/>
    <w:rsid w:val="00B973EE"/>
    <w:rsid w:val="00BB5554"/>
    <w:rsid w:val="00BB7C16"/>
    <w:rsid w:val="00BC72DE"/>
    <w:rsid w:val="00BD2139"/>
    <w:rsid w:val="00BD250A"/>
    <w:rsid w:val="00BE0F99"/>
    <w:rsid w:val="00BF156D"/>
    <w:rsid w:val="00BF4564"/>
    <w:rsid w:val="00C00296"/>
    <w:rsid w:val="00C0126D"/>
    <w:rsid w:val="00C04DEF"/>
    <w:rsid w:val="00C0537D"/>
    <w:rsid w:val="00C351BC"/>
    <w:rsid w:val="00C47095"/>
    <w:rsid w:val="00C523F6"/>
    <w:rsid w:val="00C561CC"/>
    <w:rsid w:val="00C62BED"/>
    <w:rsid w:val="00C64A76"/>
    <w:rsid w:val="00C758D3"/>
    <w:rsid w:val="00C77270"/>
    <w:rsid w:val="00C8340C"/>
    <w:rsid w:val="00C83AF2"/>
    <w:rsid w:val="00CA10D8"/>
    <w:rsid w:val="00CC00DF"/>
    <w:rsid w:val="00CC0A2B"/>
    <w:rsid w:val="00CC1C31"/>
    <w:rsid w:val="00CC2153"/>
    <w:rsid w:val="00CD5C22"/>
    <w:rsid w:val="00CE733E"/>
    <w:rsid w:val="00CF435B"/>
    <w:rsid w:val="00D00863"/>
    <w:rsid w:val="00D01686"/>
    <w:rsid w:val="00D016B0"/>
    <w:rsid w:val="00D05BDE"/>
    <w:rsid w:val="00D10177"/>
    <w:rsid w:val="00D10464"/>
    <w:rsid w:val="00D10D28"/>
    <w:rsid w:val="00D12FAF"/>
    <w:rsid w:val="00D1309C"/>
    <w:rsid w:val="00D13925"/>
    <w:rsid w:val="00D20BC6"/>
    <w:rsid w:val="00D27EE8"/>
    <w:rsid w:val="00D446A1"/>
    <w:rsid w:val="00D5297C"/>
    <w:rsid w:val="00D638C6"/>
    <w:rsid w:val="00D87D48"/>
    <w:rsid w:val="00DC6134"/>
    <w:rsid w:val="00DD77FF"/>
    <w:rsid w:val="00DE2C2D"/>
    <w:rsid w:val="00DE6374"/>
    <w:rsid w:val="00DF637F"/>
    <w:rsid w:val="00E04C0D"/>
    <w:rsid w:val="00E07CA0"/>
    <w:rsid w:val="00E153A2"/>
    <w:rsid w:val="00E27B32"/>
    <w:rsid w:val="00E323F7"/>
    <w:rsid w:val="00E41160"/>
    <w:rsid w:val="00E56249"/>
    <w:rsid w:val="00E62375"/>
    <w:rsid w:val="00E72228"/>
    <w:rsid w:val="00E72830"/>
    <w:rsid w:val="00E91067"/>
    <w:rsid w:val="00EA3384"/>
    <w:rsid w:val="00EB3A12"/>
    <w:rsid w:val="00EC4EAC"/>
    <w:rsid w:val="00EC79AC"/>
    <w:rsid w:val="00ED4248"/>
    <w:rsid w:val="00ED5AF9"/>
    <w:rsid w:val="00EE500A"/>
    <w:rsid w:val="00F22513"/>
    <w:rsid w:val="00F31A36"/>
    <w:rsid w:val="00F43E7E"/>
    <w:rsid w:val="00F4702B"/>
    <w:rsid w:val="00F607FF"/>
    <w:rsid w:val="00F722B7"/>
    <w:rsid w:val="00F724A2"/>
    <w:rsid w:val="00F72A0F"/>
    <w:rsid w:val="00F85DC3"/>
    <w:rsid w:val="00F914FC"/>
    <w:rsid w:val="00FA6386"/>
    <w:rsid w:val="00FC69E4"/>
    <w:rsid w:val="00FC7E8B"/>
    <w:rsid w:val="00FD1279"/>
    <w:rsid w:val="00FD5834"/>
    <w:rsid w:val="00FE2B55"/>
    <w:rsid w:val="00FE5214"/>
    <w:rsid w:val="00FF1231"/>
    <w:rsid w:val="0512387B"/>
    <w:rsid w:val="0BA92E45"/>
    <w:rsid w:val="0F786517"/>
    <w:rsid w:val="71A33659"/>
    <w:rsid w:val="7C4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1089</Words>
  <Characters>1171</Characters>
  <Lines>9</Lines>
  <Paragraphs>2</Paragraphs>
  <TotalTime>288</TotalTime>
  <ScaleCrop>false</ScaleCrop>
  <LinksUpToDate>false</LinksUpToDate>
  <CharactersWithSpaces>1251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2016-10-08T08:20:00Z</dcterms:created>
  <dc:creator>ly</dc:creator>
  <cp:lastModifiedBy>ASUS</cp:lastModifiedBy>
  <cp:lastPrinted>2019-04-28T02:29:00Z</cp:lastPrinted>
  <dcterms:modified xsi:type="dcterms:W3CDTF">2022-11-01T03:40:57Z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B4B59E92A3BF49B09A55443F38EEBF65</vt:lpwstr>
  </property>
</Properties>
</file>